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8" w:rsidRPr="00801826" w:rsidRDefault="00633C38" w:rsidP="004B25A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учебной деятельности с применением дистанционных технологий при изучении химии.</w:t>
      </w:r>
    </w:p>
    <w:p w:rsidR="004B25A9" w:rsidRPr="00801826" w:rsidRDefault="004B25A9" w:rsidP="000D04BB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Палий Л.И.  </w:t>
      </w:r>
      <w:hyperlink r:id="rId5" w:history="1">
        <w:r w:rsidRPr="00801826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lidiyapalii@mail.ru</w:t>
        </w:r>
      </w:hyperlink>
      <w:r w:rsidRPr="00801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25A9" w:rsidRPr="00801826" w:rsidRDefault="004B25A9" w:rsidP="000D04BB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«Школа №100 с углубленным изучением отдельных предметов»</w:t>
      </w:r>
    </w:p>
    <w:p w:rsidR="004B25A9" w:rsidRPr="00801826" w:rsidRDefault="004B25A9" w:rsidP="00801826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Нижний Новгород   </w:t>
      </w:r>
    </w:p>
    <w:p w:rsidR="00633C38" w:rsidRPr="00801826" w:rsidRDefault="00633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базисным учебным планом полной средней школы на изучение химии в 11 классе отведен 1 час в неделю, что не позволяет учителю более глубоко познакомить учащихся с технологией решения расчетных задач по той или иной учебной теме. Поэтому мною была разработана </w:t>
      </w:r>
      <w:r w:rsidR="002111C7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(</w:t>
      </w:r>
      <w:proofErr w:type="spellStart"/>
      <w:r w:rsidR="002111C7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="002111C7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2111C7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«Решение расчетных задач по химии». На программу выдано экспертное заключение по качеству содержания педагогической разработки: рекомендовать к использованию в образовательном процессе</w:t>
      </w:r>
      <w:r w:rsidR="000D04BB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образовательной организации</w:t>
      </w:r>
      <w:r w:rsidR="002111C7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5A9" w:rsidRPr="00801826" w:rsidRDefault="000D04BB" w:rsidP="000D04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3C3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5A9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Отличительная особенность программы  заключается в том, что  дистанционный формат реализации курса позволяет предоставить учащимся расширенный </w:t>
      </w:r>
      <w:proofErr w:type="spellStart"/>
      <w:r w:rsidR="004B25A9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="004B25A9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задач по учебным темам базового курса химии и обеспечить непрерывное дистанционное консультирование учащихся в процессе  самостоятельной работы с предоставленным учебным и методическим материалом. Поскольку в программе в каждой теме представлены задания базового, повышенного и высокого уровня сложности, то она может быть использована  для эффективной подготовки к  экзамену. Кроме того, в рамках изучения  отдельных тем курса учащимся предлагаются творческие задания, включающие в себя выполнение проектов и заданий исследовательского характера, что способствует более эффективному освоению учебного материала.  </w:t>
      </w:r>
    </w:p>
    <w:p w:rsidR="004B25A9" w:rsidRPr="00801826" w:rsidRDefault="004B25A9" w:rsidP="000D04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предн</w:t>
      </w:r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азначена  для  учащихся  11-х </w:t>
      </w: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общеобразовательной школы</w:t>
      </w:r>
      <w:r w:rsidR="000D04BB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</w:t>
      </w: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успешного </w:t>
      </w:r>
      <w:r w:rsidR="000D04BB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освоения </w:t>
      </w:r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необходимо </w:t>
      </w:r>
      <w:proofErr w:type="gramStart"/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proofErr w:type="gramEnd"/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навыками работы на компьютере и в сети Интернет. </w:t>
      </w:r>
    </w:p>
    <w:p w:rsidR="004B25A9" w:rsidRPr="00801826" w:rsidRDefault="004B25A9" w:rsidP="004B25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размещен на региональной учебной платформе «Нижегородская дистанционная школа», технологической основой которой служит СДО </w:t>
      </w:r>
      <w:proofErr w:type="spellStart"/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FF8" w:rsidRPr="00801826" w:rsidRDefault="00694FF8" w:rsidP="00694F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Выход в виртуальную среду обучения осуществляется через URL-адрес ресурсов дистанционного курса- </w:t>
      </w:r>
      <w:hyperlink r:id="rId6" w:history="1">
        <w:r w:rsidRPr="00801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http://www.dood.niro.nnov.ru/course/view.php?id=255</w:t>
        </w:r>
      </w:hyperlink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94FF8" w:rsidRPr="00801826" w:rsidRDefault="00801826" w:rsidP="00694FF8">
      <w:pPr>
        <w:widowControl w:val="0"/>
        <w:spacing w:before="1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ученик  вносится в список учащихся, получает присвоенный  ему логин и пароль. На первом очном занятии учащиеся знакомятся с принципами организации учебной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получаю</w:t>
      </w:r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необходимый инструктаж работы в виртуальной среде. Организация учебной деятельности осуществляется   в </w:t>
      </w:r>
      <w:proofErr w:type="spellStart"/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форме, в индивидуальном или групповом режиме,  с применением дистанционных образовательных технологий. </w:t>
      </w:r>
    </w:p>
    <w:p w:rsidR="00694FF8" w:rsidRPr="00801826" w:rsidRDefault="007E785C" w:rsidP="00694FF8">
      <w:pPr>
        <w:widowControl w:val="0"/>
        <w:spacing w:before="1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учебных часов: 34  (6 занятий по 45 мин. </w:t>
      </w:r>
      <w:proofErr w:type="gramStart"/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28 занятий (заочно, с </w:t>
      </w:r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применением ДОТ).</w:t>
      </w:r>
      <w:proofErr w:type="gramEnd"/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каждой теме – 1 час </w:t>
      </w:r>
      <w:proofErr w:type="spellStart"/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="00694FF8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C096E" w:rsidRPr="00801826" w:rsidRDefault="00EC096E" w:rsidP="00EC0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82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10166" w:type="dxa"/>
        <w:tblInd w:w="-595" w:type="dxa"/>
        <w:tblLook w:val="04A0"/>
      </w:tblPr>
      <w:tblGrid>
        <w:gridCol w:w="667"/>
        <w:gridCol w:w="2361"/>
        <w:gridCol w:w="939"/>
        <w:gridCol w:w="917"/>
        <w:gridCol w:w="807"/>
        <w:gridCol w:w="789"/>
        <w:gridCol w:w="2142"/>
        <w:gridCol w:w="1544"/>
      </w:tblGrid>
      <w:tr w:rsidR="00EC096E" w:rsidRPr="00801826" w:rsidTr="00455F13">
        <w:tc>
          <w:tcPr>
            <w:tcW w:w="66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93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1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80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Off-lien</w:t>
            </w:r>
          </w:p>
        </w:tc>
        <w:tc>
          <w:tcPr>
            <w:tcW w:w="78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2142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4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C096E" w:rsidRPr="00801826" w:rsidTr="00455F13">
        <w:tc>
          <w:tcPr>
            <w:tcW w:w="66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 по химическим формулам</w:t>
            </w:r>
          </w:p>
        </w:tc>
        <w:tc>
          <w:tcPr>
            <w:tcW w:w="93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C096E" w:rsidRPr="00801826" w:rsidRDefault="00EC096E" w:rsidP="00455F1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C096E" w:rsidRPr="00801826" w:rsidTr="00455F13">
        <w:tc>
          <w:tcPr>
            <w:tcW w:w="66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61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 по химическим уравнениям</w:t>
            </w:r>
          </w:p>
        </w:tc>
        <w:tc>
          <w:tcPr>
            <w:tcW w:w="93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096E" w:rsidRPr="00801826" w:rsidTr="00455F13">
        <w:tc>
          <w:tcPr>
            <w:tcW w:w="66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61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Растворы и смеси</w:t>
            </w: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C096E" w:rsidRPr="00801826" w:rsidTr="00455F13">
        <w:trPr>
          <w:trHeight w:val="2120"/>
        </w:trPr>
        <w:tc>
          <w:tcPr>
            <w:tcW w:w="66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61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закономерности протекания химических реакций </w:t>
            </w:r>
          </w:p>
        </w:tc>
        <w:tc>
          <w:tcPr>
            <w:tcW w:w="93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C096E" w:rsidRPr="00801826" w:rsidTr="00455F13">
        <w:tc>
          <w:tcPr>
            <w:tcW w:w="66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61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восстановительные реакции </w:t>
            </w:r>
          </w:p>
        </w:tc>
        <w:tc>
          <w:tcPr>
            <w:tcW w:w="93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8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Реферат</w:t>
            </w:r>
          </w:p>
        </w:tc>
      </w:tr>
      <w:tr w:rsidR="00EC096E" w:rsidRPr="00801826" w:rsidTr="00455F13">
        <w:tc>
          <w:tcPr>
            <w:tcW w:w="66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61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по органической  химии</w:t>
            </w:r>
          </w:p>
        </w:tc>
        <w:tc>
          <w:tcPr>
            <w:tcW w:w="93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096E" w:rsidRPr="00801826" w:rsidTr="00455F13">
        <w:tc>
          <w:tcPr>
            <w:tcW w:w="66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3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C096E" w:rsidRPr="00801826" w:rsidTr="00455F13">
        <w:trPr>
          <w:trHeight w:val="1407"/>
        </w:trPr>
        <w:tc>
          <w:tcPr>
            <w:tcW w:w="66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Рефлексивная часть</w:t>
            </w:r>
          </w:p>
        </w:tc>
        <w:tc>
          <w:tcPr>
            <w:tcW w:w="93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анкета для учащегося</w:t>
            </w:r>
          </w:p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96E" w:rsidRPr="00801826" w:rsidTr="00455F13">
        <w:tc>
          <w:tcPr>
            <w:tcW w:w="66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EC096E" w:rsidRPr="00801826" w:rsidRDefault="00EC096E" w:rsidP="00455F13">
            <w:pPr>
              <w:widowControl w:val="0"/>
              <w:tabs>
                <w:tab w:val="left" w:pos="1102"/>
              </w:tabs>
              <w:spacing w:before="242"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4FF8" w:rsidRPr="00801826" w:rsidRDefault="00694FF8" w:rsidP="00694F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6E" w:rsidRPr="00801826" w:rsidRDefault="007E785C" w:rsidP="00EC096E">
      <w:pPr>
        <w:pStyle w:val="Default"/>
        <w:spacing w:line="360" w:lineRule="auto"/>
        <w:ind w:firstLine="708"/>
        <w:jc w:val="both"/>
        <w:rPr>
          <w:rFonts w:eastAsia="Times New Roman"/>
          <w:color w:val="7030A0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EC096E" w:rsidRPr="00801826">
        <w:rPr>
          <w:rFonts w:eastAsia="Times New Roman"/>
        </w:rPr>
        <w:t xml:space="preserve">Текущий контроль и промежуточная аттестация учащихся осуществляется или традиционными методами, или с использованием электронных средств. Обязательная итоговая аттестация выпускников осуществляется традиционными методами. В данной программе представлены интерактивные тесты, созданные в программе </w:t>
      </w:r>
      <w:proofErr w:type="spellStart"/>
      <w:r w:rsidR="00EC096E" w:rsidRPr="00801826">
        <w:rPr>
          <w:rFonts w:eastAsia="Times New Roman"/>
          <w:i/>
          <w:lang w:val="en-US"/>
        </w:rPr>
        <w:t>HotPotatoes</w:t>
      </w:r>
      <w:proofErr w:type="spellEnd"/>
      <w:r>
        <w:rPr>
          <w:rFonts w:eastAsia="Times New Roman"/>
          <w:i/>
        </w:rPr>
        <w:t xml:space="preserve"> </w:t>
      </w:r>
      <w:r w:rsidR="00EC096E" w:rsidRPr="00801826">
        <w:rPr>
          <w:rFonts w:eastAsia="Times New Roman"/>
        </w:rPr>
        <w:t xml:space="preserve">или в сервисе </w:t>
      </w:r>
      <w:proofErr w:type="spellStart"/>
      <w:r w:rsidR="00EC096E" w:rsidRPr="00801826">
        <w:rPr>
          <w:rFonts w:eastAsia="Times New Roman"/>
          <w:i/>
          <w:lang w:val="en-US"/>
        </w:rPr>
        <w:t>LearningApps</w:t>
      </w:r>
      <w:proofErr w:type="spellEnd"/>
      <w:r w:rsidR="00EC096E" w:rsidRPr="00801826">
        <w:rPr>
          <w:rFonts w:eastAsia="Times New Roman"/>
          <w:i/>
        </w:rPr>
        <w:t>.</w:t>
      </w:r>
      <w:r w:rsidR="00EC096E" w:rsidRPr="00801826">
        <w:rPr>
          <w:rFonts w:eastAsia="Times New Roman"/>
          <w:i/>
          <w:lang w:val="en-US"/>
        </w:rPr>
        <w:t>org</w:t>
      </w:r>
      <w:r w:rsidR="00EC096E" w:rsidRPr="00801826">
        <w:rPr>
          <w:rFonts w:eastAsia="Times New Roman"/>
          <w:i/>
        </w:rPr>
        <w:t>.</w:t>
      </w:r>
      <w:r w:rsidR="00EC096E" w:rsidRPr="00801826">
        <w:rPr>
          <w:rFonts w:eastAsia="Times New Roman"/>
          <w:color w:val="7030A0"/>
          <w:lang w:eastAsia="ru-RU"/>
        </w:rPr>
        <w:tab/>
      </w:r>
    </w:p>
    <w:p w:rsidR="00801826" w:rsidRPr="00801826" w:rsidRDefault="007E785C" w:rsidP="00801826">
      <w:pPr>
        <w:pStyle w:val="url"/>
        <w:tabs>
          <w:tab w:val="left" w:pos="2011"/>
          <w:tab w:val="left" w:pos="4030"/>
        </w:tabs>
        <w:spacing w:before="0" w:beforeAutospacing="0" w:after="0" w:afterAutospacing="0" w:line="360" w:lineRule="auto"/>
        <w:rPr>
          <w:color w:val="FF0000"/>
        </w:rPr>
      </w:pPr>
      <w:r>
        <w:t xml:space="preserve">             </w:t>
      </w:r>
      <w:r w:rsidR="00EC096E" w:rsidRPr="00801826">
        <w:t>Для реализации программы имеется все необходимое материально-техническое, информационное и кадровое обеспечение</w:t>
      </w:r>
      <w:r w:rsidR="00EC096E" w:rsidRPr="00801826">
        <w:rPr>
          <w:color w:val="FF0000"/>
        </w:rPr>
        <w:t xml:space="preserve">. </w:t>
      </w:r>
    </w:p>
    <w:p w:rsidR="00801826" w:rsidRPr="00801826" w:rsidRDefault="00801826" w:rsidP="00801826">
      <w:pPr>
        <w:pStyle w:val="url"/>
        <w:tabs>
          <w:tab w:val="left" w:pos="2011"/>
          <w:tab w:val="left" w:pos="4030"/>
        </w:tabs>
        <w:spacing w:before="0" w:beforeAutospacing="0" w:after="0" w:afterAutospacing="0" w:line="360" w:lineRule="auto"/>
        <w:rPr>
          <w:b/>
        </w:rPr>
      </w:pPr>
      <w:r w:rsidRPr="00801826">
        <w:rPr>
          <w:b/>
        </w:rPr>
        <w:t>Список литературы</w:t>
      </w:r>
      <w:r w:rsidRPr="00801826">
        <w:rPr>
          <w:b/>
        </w:rPr>
        <w:tab/>
      </w:r>
    </w:p>
    <w:p w:rsidR="00801826" w:rsidRPr="007E785C" w:rsidRDefault="00801826" w:rsidP="00801826">
      <w:pPr>
        <w:pStyle w:val="a6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литература:</w:t>
      </w:r>
    </w:p>
    <w:p w:rsidR="00801826" w:rsidRPr="00801826" w:rsidRDefault="00801826" w:rsidP="008018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E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Стандарта среднего (полного) общего образования по химии</w:t>
      </w:r>
    </w:p>
    <w:p w:rsidR="00801826" w:rsidRPr="00801826" w:rsidRDefault="00801826" w:rsidP="00801826">
      <w:pPr>
        <w:pStyle w:val="3"/>
        <w:ind w:left="0"/>
        <w:rPr>
          <w:rFonts w:eastAsia="Times New Roman"/>
          <w:sz w:val="24"/>
          <w:szCs w:val="24"/>
          <w:lang w:eastAsia="ru-RU"/>
        </w:rPr>
      </w:pPr>
      <w:r w:rsidRPr="00801826">
        <w:rPr>
          <w:rFonts w:eastAsia="Times New Roman"/>
          <w:sz w:val="24"/>
          <w:szCs w:val="24"/>
          <w:lang w:eastAsia="ru-RU"/>
        </w:rPr>
        <w:t>2.</w:t>
      </w:r>
      <w:r w:rsidR="007E785C">
        <w:rPr>
          <w:rFonts w:eastAsia="Times New Roman"/>
          <w:sz w:val="24"/>
          <w:szCs w:val="24"/>
          <w:lang w:eastAsia="ru-RU"/>
        </w:rPr>
        <w:t xml:space="preserve"> </w:t>
      </w:r>
      <w:hyperlink r:id="rId7" w:history="1">
        <w:r w:rsidRPr="00801826">
          <w:rPr>
            <w:rFonts w:eastAsia="Times New Roman"/>
            <w:sz w:val="24"/>
            <w:szCs w:val="24"/>
            <w:lang w:eastAsia="ru-RU"/>
          </w:rPr>
          <w:t>http://fgosreestr.ru/registry/primernaya-osnovnaya-obrazovatelnaya-programma-srednego-obshhego-obrazovaniya/</w:t>
        </w:r>
      </w:hyperlink>
      <w:r w:rsidRPr="00801826">
        <w:rPr>
          <w:rFonts w:eastAsia="Times New Roman"/>
          <w:sz w:val="24"/>
          <w:szCs w:val="24"/>
          <w:lang w:eastAsia="ru-RU"/>
        </w:rPr>
        <w:t xml:space="preserve"> примерная основная образовательная программа среднего общего образования</w:t>
      </w:r>
    </w:p>
    <w:p w:rsidR="007E785C" w:rsidRDefault="00801826" w:rsidP="008018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E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«Химия», 11 класс, Габриелян О.С.,  М. издательство "Дрофа", 2013</w:t>
      </w:r>
    </w:p>
    <w:p w:rsidR="00801826" w:rsidRPr="00801826" w:rsidRDefault="00801826" w:rsidP="008018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E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«Химия», 10 класс, Габриелян О.С.,  М. издательство "Дрофа", 2012</w:t>
      </w:r>
    </w:p>
    <w:p w:rsidR="007E785C" w:rsidRPr="007E785C" w:rsidRDefault="00801826" w:rsidP="007E785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Дополнительная литература: </w:t>
      </w:r>
    </w:p>
    <w:p w:rsidR="007E785C" w:rsidRPr="007E785C" w:rsidRDefault="00801826" w:rsidP="008018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7E785C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="007E785C"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Еремин В.В. 2400 задач по химии для школьников и поступающих в вузы. – М., «Дрофа», 1999г</w:t>
      </w:r>
    </w:p>
    <w:p w:rsidR="00801826" w:rsidRPr="00801826" w:rsidRDefault="00801826" w:rsidP="008018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Габриелян О.С. Задачи по химии и способы их решения.- М., - Дрофа, 2008- С 157</w:t>
      </w:r>
    </w:p>
    <w:p w:rsidR="00801826" w:rsidRPr="00801826" w:rsidRDefault="00801826" w:rsidP="008018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</w:t>
      </w:r>
      <w:proofErr w:type="spellEnd"/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П., </w:t>
      </w:r>
      <w:proofErr w:type="spellStart"/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</w:t>
      </w:r>
      <w:proofErr w:type="spellEnd"/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Г. Сборник задач и упражнений по химии для средней школы – М.: Новая волна, 2006.</w:t>
      </w:r>
    </w:p>
    <w:p w:rsidR="00801826" w:rsidRPr="00801826" w:rsidRDefault="00801826" w:rsidP="008018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8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Е., Еремин В. В. 2400 задач для школьников и поступающих в ВУЗы. – М.: Дрофа, 2008.</w:t>
      </w:r>
    </w:p>
    <w:p w:rsidR="00801826" w:rsidRPr="007E785C" w:rsidRDefault="00801826" w:rsidP="007E785C">
      <w:pPr>
        <w:tabs>
          <w:tab w:val="left" w:pos="292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1826" w:rsidRPr="00801826" w:rsidRDefault="00801826" w:rsidP="0080182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1826" w:rsidRPr="00801826" w:rsidRDefault="00801826" w:rsidP="00801826">
      <w:pPr>
        <w:tabs>
          <w:tab w:val="left" w:pos="1779"/>
        </w:tabs>
        <w:rPr>
          <w:sz w:val="24"/>
          <w:szCs w:val="24"/>
        </w:rPr>
      </w:pPr>
    </w:p>
    <w:p w:rsidR="00EC096E" w:rsidRPr="00801826" w:rsidRDefault="00EC096E" w:rsidP="00EC096E">
      <w:pPr>
        <w:pStyle w:val="Default"/>
        <w:spacing w:line="360" w:lineRule="auto"/>
        <w:ind w:firstLine="708"/>
        <w:jc w:val="both"/>
        <w:rPr>
          <w:color w:val="FF0000"/>
        </w:rPr>
      </w:pPr>
    </w:p>
    <w:p w:rsidR="00EC096E" w:rsidRPr="00801826" w:rsidRDefault="00EC096E" w:rsidP="00EC096E">
      <w:pPr>
        <w:widowControl w:val="0"/>
        <w:spacing w:before="1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C096E" w:rsidRPr="00801826" w:rsidRDefault="00EC096E" w:rsidP="00EC096E">
      <w:pPr>
        <w:widowControl w:val="0"/>
        <w:spacing w:before="1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96E" w:rsidRPr="00801826" w:rsidRDefault="00EC096E" w:rsidP="00EC096E">
      <w:pPr>
        <w:widowControl w:val="0"/>
        <w:spacing w:before="11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F8" w:rsidRPr="00801826" w:rsidRDefault="00694FF8" w:rsidP="00694F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FF8" w:rsidRPr="00801826" w:rsidRDefault="00694FF8" w:rsidP="00694F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FF8" w:rsidRPr="00801826" w:rsidRDefault="00694FF8" w:rsidP="00694F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5A9" w:rsidRPr="00801826" w:rsidRDefault="004B25A9" w:rsidP="004B25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5A9" w:rsidRPr="00801826" w:rsidRDefault="004B25A9">
      <w:pPr>
        <w:rPr>
          <w:sz w:val="24"/>
          <w:szCs w:val="24"/>
        </w:rPr>
      </w:pPr>
    </w:p>
    <w:sectPr w:rsidR="004B25A9" w:rsidRPr="00801826" w:rsidSect="008D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599A"/>
    <w:multiLevelType w:val="hybridMultilevel"/>
    <w:tmpl w:val="6D92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3C38"/>
    <w:rsid w:val="000D04BB"/>
    <w:rsid w:val="00176FE5"/>
    <w:rsid w:val="002111C7"/>
    <w:rsid w:val="004B25A9"/>
    <w:rsid w:val="00633C38"/>
    <w:rsid w:val="00694FF8"/>
    <w:rsid w:val="007E785C"/>
    <w:rsid w:val="00801826"/>
    <w:rsid w:val="008D2732"/>
    <w:rsid w:val="00EC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5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0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01826"/>
    <w:pPr>
      <w:ind w:left="720"/>
      <w:contextualSpacing/>
    </w:pPr>
  </w:style>
  <w:style w:type="paragraph" w:customStyle="1" w:styleId="url">
    <w:name w:val="url"/>
    <w:basedOn w:val="a"/>
    <w:rsid w:val="0080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0182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01826"/>
  </w:style>
  <w:style w:type="paragraph" w:styleId="3">
    <w:name w:val="toc 3"/>
    <w:basedOn w:val="a"/>
    <w:next w:val="a"/>
    <w:autoRedefine/>
    <w:uiPriority w:val="39"/>
    <w:unhideWhenUsed/>
    <w:qFormat/>
    <w:rsid w:val="00801826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registry/primernaya-osnovnaya-obrazovatelnaya-programma-srednego-obshhego-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od.niro.nnov.ru/course/view.php?id=255" TargetMode="External"/><Relationship Id="rId5" Type="http://schemas.openxmlformats.org/officeDocument/2006/relationships/hyperlink" Target="mailto:lidiyapal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2018-07-19T08:57:00Z</dcterms:created>
  <dcterms:modified xsi:type="dcterms:W3CDTF">2018-07-19T10:25:00Z</dcterms:modified>
</cp:coreProperties>
</file>